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567B05C3">
        <w:tc>
          <w:tcPr>
            <w:tcW w:w="15509" w:type="dxa"/>
            <w:gridSpan w:val="2"/>
            <w:shd w:val="clear" w:color="auto" w:fill="FAE2D5" w:themeFill="accent2" w:themeFillTint="33"/>
          </w:tcPr>
          <w:p w14:paraId="7F4BB30C" w14:textId="7B022133" w:rsidR="00195A54" w:rsidRPr="00195A54" w:rsidRDefault="00C47C35" w:rsidP="567B05C3">
            <w:pPr>
              <w:widowControl w:val="0"/>
              <w:rPr>
                <w:rFonts w:cs="Calibri"/>
                <w:b/>
                <w:bCs/>
              </w:rPr>
            </w:pPr>
            <w:r w:rsidRPr="567B05C3">
              <w:rPr>
                <w:rFonts w:cs="Calibri"/>
                <w:b/>
                <w:bCs/>
              </w:rPr>
              <w:t>Name of unit</w:t>
            </w:r>
            <w:r w:rsidR="009E6047" w:rsidRPr="567B05C3">
              <w:rPr>
                <w:rFonts w:cs="Calibri"/>
                <w:b/>
                <w:bCs/>
              </w:rPr>
              <w:t xml:space="preserve">: </w:t>
            </w:r>
            <w:r w:rsidR="00A26810">
              <w:rPr>
                <w:rFonts w:cs="Calibri"/>
                <w:b/>
                <w:bCs/>
              </w:rPr>
              <w:t>Economic Wellbeing</w:t>
            </w:r>
          </w:p>
        </w:tc>
      </w:tr>
      <w:tr w:rsidR="00195A54" w:rsidRPr="00195A54" w14:paraId="61C58675" w14:textId="77777777" w:rsidTr="567B05C3">
        <w:tc>
          <w:tcPr>
            <w:tcW w:w="15509" w:type="dxa"/>
            <w:gridSpan w:val="2"/>
          </w:tcPr>
          <w:p w14:paraId="697410A0" w14:textId="02D2FEAA" w:rsidR="00251395" w:rsidRPr="00251395" w:rsidRDefault="00195A54" w:rsidP="00251395">
            <w:pPr>
              <w:widowControl w:val="0"/>
              <w:rPr>
                <w:rFonts w:cs="Calibri"/>
                <w:b/>
                <w:bCs/>
              </w:rPr>
            </w:pPr>
            <w:r w:rsidRPr="567B05C3">
              <w:rPr>
                <w:rFonts w:cs="Calibri"/>
                <w:b/>
                <w:bCs/>
              </w:rPr>
              <w:t>Expected Outcomes</w:t>
            </w:r>
            <w:r w:rsidR="009E6047" w:rsidRPr="567B05C3">
              <w:rPr>
                <w:rFonts w:cs="Calibri"/>
                <w:b/>
                <w:bCs/>
              </w:rPr>
              <w:t xml:space="preserve"> (PSHE Learning Intentions)</w:t>
            </w:r>
          </w:p>
          <w:p w14:paraId="7C32587E" w14:textId="77777777" w:rsidR="004E0BE8" w:rsidRPr="004E0BE8" w:rsidRDefault="004E0BE8" w:rsidP="004E0BE8">
            <w:pPr>
              <w:widowControl w:val="0"/>
              <w:rPr>
                <w:rFonts w:cs="Calibri"/>
              </w:rPr>
            </w:pPr>
            <w:r w:rsidRPr="004E0BE8">
              <w:rPr>
                <w:rFonts w:cs="Calibri"/>
              </w:rPr>
              <w:t>Pupils who are secure will be able to:</w:t>
            </w:r>
          </w:p>
          <w:p w14:paraId="0502DC4C" w14:textId="77777777" w:rsidR="004E0BE8" w:rsidRPr="004E0BE8" w:rsidRDefault="004E0BE8" w:rsidP="004E0BE8">
            <w:pPr>
              <w:widowControl w:val="0"/>
              <w:rPr>
                <w:rFonts w:cs="Calibri"/>
              </w:rPr>
            </w:pPr>
            <w:r w:rsidRPr="004E0BE8">
              <w:rPr>
                <w:rFonts w:cs="Calibri"/>
              </w:rPr>
              <w:t>Understand feelings about money and the impact they can have.</w:t>
            </w:r>
          </w:p>
          <w:p w14:paraId="59C9FBD1" w14:textId="77777777" w:rsidR="004E0BE8" w:rsidRPr="004E0BE8" w:rsidRDefault="004E0BE8" w:rsidP="004E0BE8">
            <w:pPr>
              <w:widowControl w:val="0"/>
              <w:rPr>
                <w:rFonts w:cs="Calibri"/>
              </w:rPr>
            </w:pPr>
            <w:r w:rsidRPr="004E0BE8">
              <w:rPr>
                <w:rFonts w:cs="Calibri"/>
              </w:rPr>
              <w:t>Explain how to safeguard money in both digital and physical environments.</w:t>
            </w:r>
          </w:p>
          <w:p w14:paraId="34CE6136" w14:textId="77777777" w:rsidR="004E0BE8" w:rsidRPr="004E0BE8" w:rsidRDefault="004E0BE8" w:rsidP="004E0BE8">
            <w:pPr>
              <w:widowControl w:val="0"/>
              <w:rPr>
                <w:rFonts w:cs="Calibri"/>
              </w:rPr>
            </w:pPr>
            <w:r w:rsidRPr="004E0BE8">
              <w:rPr>
                <w:rFonts w:cs="Calibri"/>
              </w:rPr>
              <w:t>Know the money changes when moving to secondary school.</w:t>
            </w:r>
          </w:p>
          <w:p w14:paraId="6C7417C0" w14:textId="77777777" w:rsidR="004E0BE8" w:rsidRPr="004E0BE8" w:rsidRDefault="004E0BE8" w:rsidP="004E0BE8">
            <w:pPr>
              <w:widowControl w:val="0"/>
              <w:rPr>
                <w:rFonts w:cs="Calibri"/>
              </w:rPr>
            </w:pPr>
            <w:r w:rsidRPr="004E0BE8">
              <w:rPr>
                <w:rFonts w:cs="Calibri"/>
              </w:rPr>
              <w:t>Understand the risks of gambling.</w:t>
            </w:r>
          </w:p>
          <w:p w14:paraId="3CC0175D" w14:textId="77777777" w:rsidR="004E0BE8" w:rsidRPr="004E0BE8" w:rsidRDefault="004E0BE8" w:rsidP="004E0BE8">
            <w:pPr>
              <w:widowControl w:val="0"/>
              <w:rPr>
                <w:rFonts w:cs="Calibri"/>
              </w:rPr>
            </w:pPr>
            <w:r w:rsidRPr="004E0BE8">
              <w:rPr>
                <w:rFonts w:cs="Calibri"/>
              </w:rPr>
              <w:t>Explain how careers function in different settings and what roles and responsibilities come with them.</w:t>
            </w:r>
          </w:p>
          <w:p w14:paraId="51AFD685" w14:textId="304D12F1" w:rsidR="00C47C35" w:rsidRPr="00C47C35" w:rsidRDefault="004E0BE8" w:rsidP="004E0BE8">
            <w:pPr>
              <w:widowControl w:val="0"/>
              <w:rPr>
                <w:rFonts w:cs="Calibri"/>
                <w:b/>
                <w:bCs/>
              </w:rPr>
            </w:pPr>
            <w:r w:rsidRPr="004E0BE8">
              <w:rPr>
                <w:rFonts w:cs="Calibri"/>
              </w:rPr>
              <w:t>Explore different career routes and their requirements.</w:t>
            </w:r>
          </w:p>
        </w:tc>
      </w:tr>
      <w:tr w:rsidR="06866210" w:rsidRPr="00E06566" w14:paraId="4398BCEC" w14:textId="77777777" w:rsidTr="567B05C3">
        <w:trPr>
          <w:trHeight w:val="300"/>
        </w:trPr>
        <w:tc>
          <w:tcPr>
            <w:tcW w:w="15509" w:type="dxa"/>
            <w:gridSpan w:val="2"/>
          </w:tcPr>
          <w:p w14:paraId="52B2D720" w14:textId="1F402D14" w:rsidR="06866210" w:rsidRPr="00E06566" w:rsidRDefault="516E766A" w:rsidP="567B05C3">
            <w:pPr>
              <w:widowControl w:val="0"/>
              <w:rPr>
                <w:rFonts w:cs="Calibri"/>
                <w:b/>
                <w:bCs/>
              </w:rPr>
            </w:pPr>
            <w:r w:rsidRPr="567B05C3">
              <w:rPr>
                <w:rFonts w:cs="Calibri"/>
                <w:b/>
                <w:bCs/>
              </w:rPr>
              <w:t>Developmental Focus</w:t>
            </w:r>
            <w:r w:rsidR="0C1C277E" w:rsidRPr="567B05C3">
              <w:rPr>
                <w:rFonts w:cs="Calibri"/>
                <w:b/>
                <w:bCs/>
              </w:rPr>
              <w:t xml:space="preserve"> Opportunities</w:t>
            </w:r>
            <w:r w:rsidR="009E6047" w:rsidRPr="567B05C3">
              <w:rPr>
                <w:rFonts w:cs="Calibri"/>
                <w:b/>
                <w:bCs/>
              </w:rPr>
              <w:t xml:space="preserve"> </w:t>
            </w:r>
            <w:r w:rsidR="00E06566" w:rsidRPr="567B05C3">
              <w:rPr>
                <w:rFonts w:cs="Calibri"/>
                <w:b/>
                <w:bCs/>
              </w:rPr>
              <w:t>(Social and Emotional Skills Learning Intentions)</w:t>
            </w:r>
          </w:p>
          <w:p w14:paraId="47ACE756" w14:textId="0D155C79" w:rsidR="06866210" w:rsidRPr="00D06BE3" w:rsidRDefault="00D06BE3" w:rsidP="00821EF6">
            <w:pPr>
              <w:widowControl w:val="0"/>
              <w:rPr>
                <w:rFonts w:cs="Calibri"/>
              </w:rPr>
            </w:pPr>
            <w:r w:rsidRPr="00D06BE3">
              <w:rPr>
                <w:rFonts w:cs="Calibri"/>
              </w:rPr>
              <w:t>In Year 6 PSHE, developmental focus opportunities centre on preparing pupils for transition, building emotional resilience, and deepening their understanding of relationships and responsibility. Social and emotional learning intentions include recognising and managing complex emotions, showing empathy and respect for others, and making thoughtful, ethical decisions. Pupils also learn to communicate effectively, resolve conflicts, and reflect on their personal values and goals. These skills support their confidence, wellbeing, and readiness for the challenges of secondary school and wider society.</w:t>
            </w:r>
          </w:p>
        </w:tc>
      </w:tr>
      <w:tr w:rsidR="00195A54" w:rsidRPr="00195A54" w14:paraId="4E7257A0" w14:textId="77777777" w:rsidTr="567B05C3">
        <w:tc>
          <w:tcPr>
            <w:tcW w:w="7725" w:type="dxa"/>
            <w:shd w:val="clear" w:color="auto" w:fill="FAE2D5" w:themeFill="accent2" w:themeFillTint="33"/>
          </w:tcPr>
          <w:p w14:paraId="71C414B0" w14:textId="357DA0E9" w:rsidR="00195A54" w:rsidRPr="00195A54" w:rsidRDefault="00195A54" w:rsidP="567B05C3">
            <w:pPr>
              <w:widowControl w:val="0"/>
              <w:rPr>
                <w:rFonts w:cs="Calibri"/>
                <w:b/>
                <w:bCs/>
              </w:rPr>
            </w:pPr>
            <w:r w:rsidRPr="567B05C3">
              <w:rPr>
                <w:rFonts w:cs="Calibri"/>
                <w:b/>
                <w:bCs/>
              </w:rPr>
              <w:t>Key Learning Points</w:t>
            </w:r>
          </w:p>
        </w:tc>
        <w:tc>
          <w:tcPr>
            <w:tcW w:w="7784" w:type="dxa"/>
            <w:shd w:val="clear" w:color="auto" w:fill="FAE2D5" w:themeFill="accent2" w:themeFillTint="33"/>
          </w:tcPr>
          <w:p w14:paraId="0A5A8A25" w14:textId="4876B950" w:rsidR="00195A54" w:rsidRPr="00195A54" w:rsidRDefault="00195A54" w:rsidP="567B05C3">
            <w:pPr>
              <w:widowControl w:val="0"/>
              <w:rPr>
                <w:rFonts w:cs="Calibri"/>
                <w:b/>
                <w:bCs/>
              </w:rPr>
            </w:pPr>
            <w:r w:rsidRPr="567B05C3">
              <w:rPr>
                <w:rFonts w:cs="Calibri"/>
                <w:b/>
                <w:bCs/>
              </w:rPr>
              <w:t>Powerful Knowledge</w:t>
            </w:r>
          </w:p>
        </w:tc>
      </w:tr>
      <w:tr w:rsidR="00195A54" w:rsidRPr="00195A54" w14:paraId="06DADF0D" w14:textId="77777777" w:rsidTr="567B05C3">
        <w:tc>
          <w:tcPr>
            <w:tcW w:w="7725" w:type="dxa"/>
          </w:tcPr>
          <w:p w14:paraId="3F5D13C1" w14:textId="77777777" w:rsidR="00372C68" w:rsidRPr="00372C68" w:rsidRDefault="00372C68" w:rsidP="00372C68">
            <w:pPr>
              <w:widowControl w:val="0"/>
              <w:rPr>
                <w:rFonts w:cs="Calibri"/>
              </w:rPr>
            </w:pPr>
            <w:r w:rsidRPr="00372C68">
              <w:rPr>
                <w:rFonts w:cs="Calibri"/>
              </w:rPr>
              <w:t>Developing emotional intelligence related to financial matters.</w:t>
            </w:r>
          </w:p>
          <w:p w14:paraId="70CBBBA3" w14:textId="77777777" w:rsidR="00372C68" w:rsidRPr="00372C68" w:rsidRDefault="00372C68" w:rsidP="00372C68">
            <w:pPr>
              <w:widowControl w:val="0"/>
              <w:rPr>
                <w:rFonts w:cs="Calibri"/>
              </w:rPr>
            </w:pPr>
            <w:r w:rsidRPr="00372C68">
              <w:rPr>
                <w:rFonts w:cs="Calibri"/>
              </w:rPr>
              <w:t>Applying coping strategies for managing financial emotions.</w:t>
            </w:r>
          </w:p>
          <w:p w14:paraId="52EA44F7" w14:textId="77777777" w:rsidR="00372C68" w:rsidRPr="00372C68" w:rsidRDefault="00372C68" w:rsidP="00372C68">
            <w:pPr>
              <w:widowControl w:val="0"/>
              <w:rPr>
                <w:rFonts w:cs="Calibri"/>
              </w:rPr>
            </w:pPr>
            <w:r w:rsidRPr="00372C68">
              <w:rPr>
                <w:rFonts w:cs="Calibri"/>
              </w:rPr>
              <w:t>Assessing risks in both physical and digital financial environments.</w:t>
            </w:r>
          </w:p>
          <w:p w14:paraId="00648F2D" w14:textId="77777777" w:rsidR="00372C68" w:rsidRPr="00372C68" w:rsidRDefault="00372C68" w:rsidP="00372C68">
            <w:pPr>
              <w:widowControl w:val="0"/>
              <w:rPr>
                <w:rFonts w:cs="Calibri"/>
              </w:rPr>
            </w:pPr>
            <w:r w:rsidRPr="00372C68">
              <w:rPr>
                <w:rFonts w:cs="Calibri"/>
              </w:rPr>
              <w:t>Implementing safeguarding measures for money in real-world scenarios.</w:t>
            </w:r>
          </w:p>
          <w:p w14:paraId="2CD563DA" w14:textId="77777777" w:rsidR="00372C68" w:rsidRPr="00372C68" w:rsidRDefault="00372C68" w:rsidP="00372C68">
            <w:pPr>
              <w:widowControl w:val="0"/>
              <w:rPr>
                <w:rFonts w:cs="Calibri"/>
              </w:rPr>
            </w:pPr>
            <w:r w:rsidRPr="00372C68">
              <w:rPr>
                <w:rFonts w:cs="Calibri"/>
              </w:rPr>
              <w:t>Adapting to financial changes associated with transitioning to secondary school.</w:t>
            </w:r>
          </w:p>
          <w:p w14:paraId="11646603" w14:textId="77777777" w:rsidR="00372C68" w:rsidRPr="00372C68" w:rsidRDefault="00372C68" w:rsidP="00372C68">
            <w:pPr>
              <w:widowControl w:val="0"/>
              <w:rPr>
                <w:rFonts w:cs="Calibri"/>
              </w:rPr>
            </w:pPr>
            <w:r w:rsidRPr="00372C68">
              <w:rPr>
                <w:rFonts w:cs="Calibri"/>
              </w:rPr>
              <w:t>Practising budgeting and career planning skills.</w:t>
            </w:r>
          </w:p>
          <w:p w14:paraId="53AA2B59" w14:textId="77777777" w:rsidR="00372C68" w:rsidRPr="00372C68" w:rsidRDefault="00372C68" w:rsidP="00372C68">
            <w:pPr>
              <w:widowControl w:val="0"/>
              <w:rPr>
                <w:rFonts w:cs="Calibri"/>
              </w:rPr>
            </w:pPr>
            <w:r w:rsidRPr="00372C68">
              <w:rPr>
                <w:rFonts w:cs="Calibri"/>
              </w:rPr>
              <w:t>Preparing personally for financial and career changes in secondary school.</w:t>
            </w:r>
          </w:p>
          <w:p w14:paraId="13987915" w14:textId="67E1C992" w:rsidR="00C47C35" w:rsidRPr="00C47C35" w:rsidRDefault="00372C68" w:rsidP="00372C68">
            <w:pPr>
              <w:widowControl w:val="0"/>
              <w:rPr>
                <w:rFonts w:cs="Calibri"/>
              </w:rPr>
            </w:pPr>
            <w:r w:rsidRPr="00372C68">
              <w:rPr>
                <w:rFonts w:cs="Calibri"/>
              </w:rPr>
              <w:t>Identifying different forms of gambling and understanding their risks.</w:t>
            </w:r>
          </w:p>
        </w:tc>
        <w:tc>
          <w:tcPr>
            <w:tcW w:w="7784" w:type="dxa"/>
          </w:tcPr>
          <w:p w14:paraId="5B69D9F1" w14:textId="15DBA011" w:rsidR="00C47C35" w:rsidRPr="00195A54" w:rsidRDefault="00EC2FB6" w:rsidP="00C60A96">
            <w:pPr>
              <w:widowControl w:val="0"/>
            </w:pPr>
            <w:r>
              <w:t xml:space="preserve">To </w:t>
            </w:r>
            <w:r w:rsidR="00C60A96">
              <w:t>know:</w:t>
            </w:r>
            <w:r>
              <w:t xml:space="preserve"> </w:t>
            </w:r>
            <w:r w:rsidR="00C60A96">
              <w:t xml:space="preserve">Identify emotions linked to money. Understand how money affects feelings and behaviour. Learn healthy ways to cope with feelings about money. Identify risks to money safety in both physical and digital environments. Understand methods to safeguard money physically and digitally. Apply understanding to real-world scenarios to take appropriate safeguarding actions. Understand the changes in financial responsibilities when transitioning to secondary school. Learn budgeting and career planning skills. Relate these changes to personal preparation for secondary school. Understand what gambling is and identify its different forms. Recognise the risks and consequences associated with gambling. Develop responsible attitudes towards gambling and apply this understanding to real-world scenarios. Understand different types of workplace environments and their characteristics. Recognise the importance of teamwork, communication, and career roles within a workplace. Understand various career routes in multiple sectors and their educational and skill requirements. Evaluate the pros and cons of </w:t>
            </w:r>
            <w:r w:rsidR="00C60A96">
              <w:lastRenderedPageBreak/>
              <w:t>different career paths. Relate career options to personal interests and strengths.</w:t>
            </w:r>
          </w:p>
        </w:tc>
      </w:tr>
      <w:tr w:rsidR="00195A54" w:rsidRPr="00195A54" w14:paraId="11B5495E" w14:textId="77777777" w:rsidTr="567B05C3">
        <w:tc>
          <w:tcPr>
            <w:tcW w:w="7725" w:type="dxa"/>
            <w:shd w:val="clear" w:color="auto" w:fill="FAE2D5" w:themeFill="accent2" w:themeFillTint="33"/>
          </w:tcPr>
          <w:p w14:paraId="7F9FC9CC" w14:textId="21929E12" w:rsidR="00195A54" w:rsidRPr="00195A54" w:rsidRDefault="00195A54" w:rsidP="567B05C3">
            <w:pPr>
              <w:widowControl w:val="0"/>
              <w:rPr>
                <w:rFonts w:cs="Calibri"/>
                <w:b/>
                <w:bCs/>
              </w:rPr>
            </w:pPr>
            <w:r w:rsidRPr="567B05C3">
              <w:rPr>
                <w:rFonts w:cs="Calibri"/>
                <w:b/>
                <w:bCs/>
              </w:rPr>
              <w:lastRenderedPageBreak/>
              <w:t xml:space="preserve">Subject-Specific Vocabulary </w:t>
            </w:r>
          </w:p>
        </w:tc>
        <w:tc>
          <w:tcPr>
            <w:tcW w:w="7784" w:type="dxa"/>
            <w:shd w:val="clear" w:color="auto" w:fill="FAE2D5" w:themeFill="accent2" w:themeFillTint="33"/>
          </w:tcPr>
          <w:p w14:paraId="300D8508" w14:textId="708DA0A1" w:rsidR="00195A54" w:rsidRPr="00195A54" w:rsidRDefault="00195A54" w:rsidP="567B05C3">
            <w:pPr>
              <w:widowControl w:val="0"/>
              <w:rPr>
                <w:rFonts w:cs="Calibri"/>
                <w:b/>
                <w:bCs/>
              </w:rPr>
            </w:pPr>
            <w:r w:rsidRPr="567B05C3">
              <w:rPr>
                <w:rFonts w:cs="Calibri"/>
                <w:b/>
                <w:bCs/>
              </w:rPr>
              <w:t>Reading Opportunities</w:t>
            </w:r>
          </w:p>
        </w:tc>
      </w:tr>
      <w:tr w:rsidR="00195A54" w:rsidRPr="00195A54" w14:paraId="49B65D1F" w14:textId="77777777" w:rsidTr="567B05C3">
        <w:tc>
          <w:tcPr>
            <w:tcW w:w="7725" w:type="dxa"/>
          </w:tcPr>
          <w:p w14:paraId="208B1E46" w14:textId="77777777" w:rsidR="006A597E" w:rsidRDefault="006A597E" w:rsidP="006A597E">
            <w:pPr>
              <w:widowControl w:val="0"/>
              <w:spacing w:line="360" w:lineRule="auto"/>
            </w:pPr>
            <w:r>
              <w:t>earnings</w:t>
            </w:r>
          </w:p>
          <w:p w14:paraId="0C0AA6B1" w14:textId="77777777" w:rsidR="006A597E" w:rsidRDefault="006A597E" w:rsidP="006A597E">
            <w:pPr>
              <w:widowControl w:val="0"/>
              <w:spacing w:line="360" w:lineRule="auto"/>
            </w:pPr>
            <w:r>
              <w:t>educational requirements</w:t>
            </w:r>
          </w:p>
          <w:p w14:paraId="78099519" w14:textId="77777777" w:rsidR="006A597E" w:rsidRDefault="006A597E" w:rsidP="006A597E">
            <w:pPr>
              <w:widowControl w:val="0"/>
              <w:spacing w:line="360" w:lineRule="auto"/>
            </w:pPr>
            <w:r>
              <w:t>expenses</w:t>
            </w:r>
          </w:p>
          <w:p w14:paraId="6734031D" w14:textId="77777777" w:rsidR="006A597E" w:rsidRDefault="006A597E" w:rsidP="006A597E">
            <w:pPr>
              <w:widowControl w:val="0"/>
              <w:spacing w:line="360" w:lineRule="auto"/>
            </w:pPr>
            <w:r>
              <w:t>gambling</w:t>
            </w:r>
          </w:p>
          <w:p w14:paraId="2B717B6A" w14:textId="77777777" w:rsidR="006A597E" w:rsidRDefault="006A597E" w:rsidP="006A597E">
            <w:pPr>
              <w:widowControl w:val="0"/>
              <w:spacing w:line="360" w:lineRule="auto"/>
            </w:pPr>
            <w:r>
              <w:t>responsibilities</w:t>
            </w:r>
          </w:p>
          <w:p w14:paraId="611EA9B8" w14:textId="77777777" w:rsidR="006A597E" w:rsidRDefault="006A597E" w:rsidP="006A597E">
            <w:pPr>
              <w:widowControl w:val="0"/>
              <w:spacing w:line="360" w:lineRule="auto"/>
            </w:pPr>
            <w:r>
              <w:t>risks</w:t>
            </w:r>
          </w:p>
          <w:p w14:paraId="751D4814" w14:textId="77777777" w:rsidR="006A597E" w:rsidRDefault="006A597E" w:rsidP="006A597E">
            <w:pPr>
              <w:widowControl w:val="0"/>
              <w:spacing w:line="360" w:lineRule="auto"/>
            </w:pPr>
            <w:r>
              <w:t>safeguard</w:t>
            </w:r>
          </w:p>
          <w:p w14:paraId="176A1550" w14:textId="77777777" w:rsidR="006A597E" w:rsidRDefault="006A597E" w:rsidP="006A597E">
            <w:pPr>
              <w:widowControl w:val="0"/>
              <w:spacing w:line="360" w:lineRule="auto"/>
            </w:pPr>
            <w:r>
              <w:t>university</w:t>
            </w:r>
          </w:p>
          <w:p w14:paraId="7D5DDD48" w14:textId="77777777" w:rsidR="006A597E" w:rsidRDefault="006A597E" w:rsidP="006A597E">
            <w:pPr>
              <w:widowControl w:val="0"/>
              <w:spacing w:line="360" w:lineRule="auto"/>
            </w:pPr>
            <w:r>
              <w:t>valuables</w:t>
            </w:r>
          </w:p>
          <w:p w14:paraId="1E0D00A8" w14:textId="19263BB4" w:rsidR="00C47C35" w:rsidRPr="00195A54" w:rsidRDefault="006A597E" w:rsidP="006A597E">
            <w:pPr>
              <w:widowControl w:val="0"/>
              <w:spacing w:line="360" w:lineRule="auto"/>
            </w:pPr>
            <w:r>
              <w:t>workplace</w:t>
            </w:r>
          </w:p>
        </w:tc>
        <w:tc>
          <w:tcPr>
            <w:tcW w:w="7784" w:type="dxa"/>
          </w:tcPr>
          <w:p w14:paraId="73DEE9A5" w14:textId="7E17E619" w:rsidR="00C47C35" w:rsidRPr="00195A54" w:rsidRDefault="00402198" w:rsidP="003C19AE">
            <w:pPr>
              <w:widowControl w:val="0"/>
              <w:rPr>
                <w:rFonts w:cs="Calibri"/>
              </w:rPr>
            </w:pPr>
            <w:r w:rsidRPr="00402198">
              <w:rPr>
                <w:rFonts w:cs="Calibri"/>
              </w:rPr>
              <w:t>In Year 6 PSHE economic wellbeing, reading opportunities help pupils explore money, choices, and values through engaging texts. Stories like “It’s a No-Money Day” by Kate Milner and “Lend and Borrow” by Harriet Brundle introduce concepts of budgeting, saving, and financial fairness. Biographies of entrepreneurs or changemakers can spark discussions about ethical decision-making and resilience. Non-fiction texts, posters, and leaflets about spending, needs versus wants, and charity also support comprehension and critical thinking while reinforcing key citizenship themes.</w:t>
            </w:r>
          </w:p>
        </w:tc>
      </w:tr>
      <w:tr w:rsidR="00195A54" w:rsidRPr="00195A54" w14:paraId="52FDDB70" w14:textId="77777777" w:rsidTr="567B05C3">
        <w:tc>
          <w:tcPr>
            <w:tcW w:w="7725" w:type="dxa"/>
            <w:shd w:val="clear" w:color="auto" w:fill="FAE2D5" w:themeFill="accent2" w:themeFillTint="33"/>
          </w:tcPr>
          <w:p w14:paraId="0F848A00" w14:textId="13D105B8" w:rsidR="00195A54" w:rsidRPr="00195A54" w:rsidRDefault="00195A54" w:rsidP="567B05C3">
            <w:pPr>
              <w:widowControl w:val="0"/>
              <w:rPr>
                <w:rFonts w:cs="Calibri"/>
                <w:b/>
                <w:bCs/>
              </w:rPr>
            </w:pPr>
            <w:r w:rsidRPr="567B05C3">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rsidP="567B05C3">
            <w:pPr>
              <w:widowControl w:val="0"/>
              <w:rPr>
                <w:rFonts w:cs="Calibri"/>
                <w:b/>
                <w:bCs/>
              </w:rPr>
            </w:pPr>
            <w:r w:rsidRPr="567B05C3">
              <w:rPr>
                <w:rFonts w:cs="Calibri"/>
                <w:b/>
                <w:bCs/>
              </w:rPr>
              <w:t>Cross-Curricular Links</w:t>
            </w:r>
          </w:p>
        </w:tc>
      </w:tr>
      <w:tr w:rsidR="00195A54" w:rsidRPr="00195A54" w14:paraId="542ABD73" w14:textId="77777777" w:rsidTr="567B05C3">
        <w:tc>
          <w:tcPr>
            <w:tcW w:w="7725" w:type="dxa"/>
          </w:tcPr>
          <w:p w14:paraId="299CC210" w14:textId="5CDBF381" w:rsidR="00C47C35" w:rsidRPr="00195A54" w:rsidRDefault="00BC383E" w:rsidP="00572C69">
            <w:pPr>
              <w:rPr>
                <w:rFonts w:cs="Calibri"/>
              </w:rPr>
            </w:pPr>
            <w:r w:rsidRPr="00BC383E">
              <w:rPr>
                <w:rFonts w:cs="Calibri"/>
              </w:rPr>
              <w:t>In Year 6 PSHE economic wellbeing, pupils may mistakenly believe that money guarantees happiness or that all jobs earn the same income. They might assume borrowing has no consequences or that saving is only for adults. Exploring these misconceptions helps children develop financial awareness, understand the value of budgeting, and make responsible choices that consider both personal and social impact.</w:t>
            </w:r>
          </w:p>
        </w:tc>
        <w:tc>
          <w:tcPr>
            <w:tcW w:w="7784" w:type="dxa"/>
          </w:tcPr>
          <w:p w14:paraId="666CF912" w14:textId="77777777" w:rsidR="00B15BA7" w:rsidRPr="00B15BA7" w:rsidRDefault="00B15BA7" w:rsidP="00B15BA7">
            <w:pPr>
              <w:widowControl w:val="0"/>
              <w:rPr>
                <w:rFonts w:cs="Calibri"/>
              </w:rPr>
            </w:pPr>
            <w:r w:rsidRPr="00B15BA7">
              <w:rPr>
                <w:rFonts w:cs="Calibri"/>
              </w:rPr>
              <w:t>British values: Democracy, Individual liberty, Mutual respect, Rule of law</w:t>
            </w:r>
          </w:p>
          <w:p w14:paraId="6799D921" w14:textId="77777777" w:rsidR="00B15BA7" w:rsidRPr="00B15BA7" w:rsidRDefault="00B15BA7" w:rsidP="00B15BA7">
            <w:pPr>
              <w:widowControl w:val="0"/>
              <w:rPr>
                <w:rFonts w:cs="Calibri"/>
              </w:rPr>
            </w:pPr>
            <w:r w:rsidRPr="00B15BA7">
              <w:rPr>
                <w:rFonts w:cs="Calibri"/>
              </w:rPr>
              <w:t>English: Spoken language</w:t>
            </w:r>
          </w:p>
          <w:p w14:paraId="7DCD9DC6" w14:textId="6B329AC0" w:rsidR="00C47C35" w:rsidRPr="00195A54" w:rsidRDefault="00B15BA7" w:rsidP="00B15BA7">
            <w:pPr>
              <w:widowControl w:val="0"/>
              <w:rPr>
                <w:rFonts w:cs="Calibri"/>
              </w:rPr>
            </w:pPr>
            <w:r w:rsidRPr="00B15BA7">
              <w:rPr>
                <w:rFonts w:cs="Calibri"/>
              </w:rPr>
              <w:t>RSE: Mental wellbeing</w:t>
            </w:r>
          </w:p>
        </w:tc>
      </w:tr>
    </w:tbl>
    <w:p w14:paraId="0FB60DF5" w14:textId="77777777" w:rsidR="0018518C" w:rsidRPr="00195A54" w:rsidRDefault="0018518C">
      <w:pPr>
        <w:rPr>
          <w:rFonts w:cs="Calibri"/>
        </w:rPr>
      </w:pPr>
    </w:p>
    <w:sectPr w:rsidR="0018518C" w:rsidRPr="00195A54"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46AF" w14:textId="77777777" w:rsidR="00406D07" w:rsidRDefault="00406D07" w:rsidP="00195A54">
      <w:pPr>
        <w:spacing w:after="0" w:line="240" w:lineRule="auto"/>
      </w:pPr>
      <w:r>
        <w:separator/>
      </w:r>
    </w:p>
  </w:endnote>
  <w:endnote w:type="continuationSeparator" w:id="0">
    <w:p w14:paraId="193F9F9C" w14:textId="77777777" w:rsidR="00406D07" w:rsidRDefault="00406D07" w:rsidP="00195A54">
      <w:pPr>
        <w:spacing w:after="0" w:line="240" w:lineRule="auto"/>
      </w:pPr>
      <w:r>
        <w:continuationSeparator/>
      </w:r>
    </w:p>
  </w:endnote>
  <w:endnote w:type="continuationNotice" w:id="1">
    <w:p w14:paraId="41AA19E1" w14:textId="77777777" w:rsidR="00406D07" w:rsidRDefault="00406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14:paraId="1661FECB" w14:textId="77777777" w:rsidTr="294F9F67">
      <w:trPr>
        <w:trHeight w:val="300"/>
      </w:trPr>
      <w:tc>
        <w:tcPr>
          <w:tcW w:w="5130" w:type="dxa"/>
        </w:tcPr>
        <w:p w14:paraId="50D95D6E" w14:textId="3E0EEEF1" w:rsidR="294F9F67" w:rsidRDefault="294F9F67" w:rsidP="294F9F67">
          <w:pPr>
            <w:pStyle w:val="Header"/>
            <w:ind w:left="-115"/>
          </w:pPr>
        </w:p>
      </w:tc>
      <w:tc>
        <w:tcPr>
          <w:tcW w:w="5130" w:type="dxa"/>
        </w:tcPr>
        <w:p w14:paraId="144DBBF2" w14:textId="64FCBC48" w:rsidR="294F9F67" w:rsidRDefault="294F9F67" w:rsidP="294F9F67">
          <w:pPr>
            <w:pStyle w:val="Header"/>
            <w:jc w:val="center"/>
          </w:pPr>
        </w:p>
      </w:tc>
      <w:tc>
        <w:tcPr>
          <w:tcW w:w="5130" w:type="dxa"/>
        </w:tcPr>
        <w:p w14:paraId="5498E16B" w14:textId="0E5CE0C0" w:rsidR="294F9F67" w:rsidRDefault="294F9F67" w:rsidP="294F9F67">
          <w:pPr>
            <w:pStyle w:val="Header"/>
            <w:ind w:right="-115"/>
            <w:jc w:val="right"/>
          </w:pPr>
        </w:p>
      </w:tc>
    </w:tr>
  </w:tbl>
  <w:p w14:paraId="0979ADF7" w14:textId="0BE7CEFE" w:rsidR="294F9F67" w:rsidRDefault="294F9F67" w:rsidP="294F9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3C029" w14:textId="77777777" w:rsidR="00406D07" w:rsidRDefault="00406D07" w:rsidP="00195A54">
      <w:pPr>
        <w:spacing w:after="0" w:line="240" w:lineRule="auto"/>
      </w:pPr>
      <w:r>
        <w:separator/>
      </w:r>
    </w:p>
  </w:footnote>
  <w:footnote w:type="continuationSeparator" w:id="0">
    <w:p w14:paraId="7A8F12A3" w14:textId="77777777" w:rsidR="00406D07" w:rsidRDefault="00406D07" w:rsidP="00195A54">
      <w:pPr>
        <w:spacing w:after="0" w:line="240" w:lineRule="auto"/>
      </w:pPr>
      <w:r>
        <w:continuationSeparator/>
      </w:r>
    </w:p>
  </w:footnote>
  <w:footnote w:type="continuationNotice" w:id="1">
    <w:p w14:paraId="4F48EC9E" w14:textId="77777777" w:rsidR="00406D07" w:rsidRDefault="00406D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B06C5FC" w:rsidR="00195A54" w:rsidRPr="00C47C35" w:rsidRDefault="567B05C3" w:rsidP="00C47C35">
    <w:pPr>
      <w:pStyle w:val="Header"/>
      <w:jc w:val="center"/>
      <w:rPr>
        <w:u w:val="single"/>
      </w:rPr>
    </w:pPr>
    <w:r w:rsidRPr="567B05C3">
      <w:rPr>
        <w:u w:val="single"/>
      </w:rPr>
      <w:t>Year 6 PSHE Unit Plan</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383E"/>
    <w:rsid w:val="00093E10"/>
    <w:rsid w:val="00096228"/>
    <w:rsid w:val="0018518C"/>
    <w:rsid w:val="00195A54"/>
    <w:rsid w:val="002360A4"/>
    <w:rsid w:val="00251395"/>
    <w:rsid w:val="002A4B35"/>
    <w:rsid w:val="00316F31"/>
    <w:rsid w:val="00372C68"/>
    <w:rsid w:val="00383BE2"/>
    <w:rsid w:val="00383FD4"/>
    <w:rsid w:val="00391221"/>
    <w:rsid w:val="003B666C"/>
    <w:rsid w:val="003C19AE"/>
    <w:rsid w:val="003F6362"/>
    <w:rsid w:val="00402198"/>
    <w:rsid w:val="00406D07"/>
    <w:rsid w:val="0043308C"/>
    <w:rsid w:val="00434841"/>
    <w:rsid w:val="004E0BE8"/>
    <w:rsid w:val="00546298"/>
    <w:rsid w:val="00552CF8"/>
    <w:rsid w:val="00572C69"/>
    <w:rsid w:val="005B47A0"/>
    <w:rsid w:val="005F3BE7"/>
    <w:rsid w:val="00603C60"/>
    <w:rsid w:val="006A597E"/>
    <w:rsid w:val="006E02F1"/>
    <w:rsid w:val="006F0359"/>
    <w:rsid w:val="006F1772"/>
    <w:rsid w:val="00821EF6"/>
    <w:rsid w:val="0086192E"/>
    <w:rsid w:val="00890DE1"/>
    <w:rsid w:val="008D66CC"/>
    <w:rsid w:val="00905EEB"/>
    <w:rsid w:val="00944250"/>
    <w:rsid w:val="00980A52"/>
    <w:rsid w:val="009A451C"/>
    <w:rsid w:val="009E6047"/>
    <w:rsid w:val="00A26810"/>
    <w:rsid w:val="00A87D9A"/>
    <w:rsid w:val="00AD6CF3"/>
    <w:rsid w:val="00AE32EA"/>
    <w:rsid w:val="00B07125"/>
    <w:rsid w:val="00B15BA7"/>
    <w:rsid w:val="00B72AF3"/>
    <w:rsid w:val="00BA292B"/>
    <w:rsid w:val="00BB21E9"/>
    <w:rsid w:val="00BC383E"/>
    <w:rsid w:val="00BE30D2"/>
    <w:rsid w:val="00C1074A"/>
    <w:rsid w:val="00C47C35"/>
    <w:rsid w:val="00C60A96"/>
    <w:rsid w:val="00CB6DF2"/>
    <w:rsid w:val="00D06BE3"/>
    <w:rsid w:val="00D24D50"/>
    <w:rsid w:val="00D81E35"/>
    <w:rsid w:val="00D862A9"/>
    <w:rsid w:val="00E06566"/>
    <w:rsid w:val="00E328D1"/>
    <w:rsid w:val="00E43558"/>
    <w:rsid w:val="00E86A4E"/>
    <w:rsid w:val="00EA7126"/>
    <w:rsid w:val="00EA7C41"/>
    <w:rsid w:val="00EC2FB6"/>
    <w:rsid w:val="00F10CF5"/>
    <w:rsid w:val="00F671E2"/>
    <w:rsid w:val="00F83601"/>
    <w:rsid w:val="00F9356C"/>
    <w:rsid w:val="00FE70DA"/>
    <w:rsid w:val="032D7FF8"/>
    <w:rsid w:val="03F363A1"/>
    <w:rsid w:val="06866210"/>
    <w:rsid w:val="08BD48E1"/>
    <w:rsid w:val="09CE7D32"/>
    <w:rsid w:val="0B25F425"/>
    <w:rsid w:val="0C1C277E"/>
    <w:rsid w:val="0F51895C"/>
    <w:rsid w:val="10EDECFF"/>
    <w:rsid w:val="125D4086"/>
    <w:rsid w:val="1300F193"/>
    <w:rsid w:val="1396D113"/>
    <w:rsid w:val="145840CD"/>
    <w:rsid w:val="1AAE6C5A"/>
    <w:rsid w:val="1F3C9BA4"/>
    <w:rsid w:val="201EB5A9"/>
    <w:rsid w:val="23CEB971"/>
    <w:rsid w:val="25E16150"/>
    <w:rsid w:val="271D36A6"/>
    <w:rsid w:val="28D3CFAF"/>
    <w:rsid w:val="294F9F67"/>
    <w:rsid w:val="2AEA547E"/>
    <w:rsid w:val="2C630927"/>
    <w:rsid w:val="2CE20E5B"/>
    <w:rsid w:val="2D6BD715"/>
    <w:rsid w:val="2E3CE0FA"/>
    <w:rsid w:val="2E4AAB02"/>
    <w:rsid w:val="31676E6E"/>
    <w:rsid w:val="350222A1"/>
    <w:rsid w:val="39BECB2F"/>
    <w:rsid w:val="3A8CC2B2"/>
    <w:rsid w:val="3AA84127"/>
    <w:rsid w:val="3B1398DF"/>
    <w:rsid w:val="40D76169"/>
    <w:rsid w:val="40E063CD"/>
    <w:rsid w:val="417DD0E8"/>
    <w:rsid w:val="4658C53E"/>
    <w:rsid w:val="468D7AE1"/>
    <w:rsid w:val="495C5D8F"/>
    <w:rsid w:val="49F56D24"/>
    <w:rsid w:val="4B44F557"/>
    <w:rsid w:val="4BFAC104"/>
    <w:rsid w:val="516E766A"/>
    <w:rsid w:val="5194F8C5"/>
    <w:rsid w:val="5412A698"/>
    <w:rsid w:val="567B05C3"/>
    <w:rsid w:val="5CDC4B33"/>
    <w:rsid w:val="5EED067F"/>
    <w:rsid w:val="5EF5F61E"/>
    <w:rsid w:val="668A20E4"/>
    <w:rsid w:val="66A82D06"/>
    <w:rsid w:val="67B6A907"/>
    <w:rsid w:val="6AEBA09E"/>
    <w:rsid w:val="6B5D4792"/>
    <w:rsid w:val="6B7FBB7B"/>
    <w:rsid w:val="6B9C1C3B"/>
    <w:rsid w:val="6D7687DF"/>
    <w:rsid w:val="70561883"/>
    <w:rsid w:val="72376D38"/>
    <w:rsid w:val="732EBC4B"/>
    <w:rsid w:val="792AF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2.xml><?xml version="1.0" encoding="utf-8"?>
<ds:datastoreItem xmlns:ds="http://schemas.openxmlformats.org/officeDocument/2006/customXml" ds:itemID="{E99E95E6-0C4E-41B8-BFE1-542309020354}"/>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Metadata/LabelInfo.xml><?xml version="1.0" encoding="utf-8"?>
<clbl:labelList xmlns:clbl="http://schemas.microsoft.com/office/2020/mipLabelMetadata">
  <clbl:label id="{9a79884b-3611-4fca-b588-632017a0b7f8}" enabled="1" method="Standard" siteId="{a724b426-67c1-475e-a8a9-bc73bb7a492e}" removed="0"/>
</clbl:labelList>
</file>

<file path=docProps/app.xml><?xml version="1.0" encoding="utf-8"?>
<Properties xmlns="http://schemas.openxmlformats.org/officeDocument/2006/extended-properties" xmlns:vt="http://schemas.openxmlformats.org/officeDocument/2006/docPropsVTypes">
  <Template>Normal</Template>
  <TotalTime>10</TotalTime>
  <Pages>2</Pages>
  <Words>611</Words>
  <Characters>3672</Characters>
  <Application>Microsoft Office Word</Application>
  <DocSecurity>0</DocSecurity>
  <Lines>96</Lines>
  <Paragraphs>72</Paragraphs>
  <ScaleCrop>false</ScaleCrop>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Garner, Debbie</cp:lastModifiedBy>
  <cp:revision>15</cp:revision>
  <dcterms:created xsi:type="dcterms:W3CDTF">2025-10-30T15:24:00Z</dcterms:created>
  <dcterms:modified xsi:type="dcterms:W3CDTF">2025-10-30T15:33:00Z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